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1B" w:rsidRPr="00CE711B" w:rsidRDefault="00CE711B" w:rsidP="00CE711B">
      <w:pPr>
        <w:widowControl w:val="0"/>
        <w:autoSpaceDE w:val="0"/>
        <w:autoSpaceDN w:val="0"/>
        <w:adjustRightInd w:val="0"/>
        <w:spacing w:after="100" w:line="560" w:lineRule="atLeast"/>
        <w:rPr>
          <w:rFonts w:cs="Arial"/>
          <w:color w:val="399BFF"/>
          <w:sz w:val="44"/>
          <w:szCs w:val="44"/>
          <w:lang w:val="en-US" w:eastAsia="zh-CN"/>
        </w:rPr>
      </w:pPr>
      <w:r w:rsidRPr="00CE711B">
        <w:rPr>
          <w:rFonts w:cs="Arial"/>
          <w:color w:val="399BFF"/>
          <w:sz w:val="44"/>
          <w:szCs w:val="44"/>
          <w:lang w:val="en-US" w:eastAsia="zh-CN"/>
        </w:rPr>
        <w:t xml:space="preserve">« </w:t>
      </w:r>
      <w:r w:rsidRPr="00CE711B">
        <w:rPr>
          <w:rFonts w:cs="Arial"/>
          <w:color w:val="399BFF"/>
          <w:sz w:val="44"/>
          <w:szCs w:val="44"/>
          <w:lang w:val="en-US" w:eastAsia="zh-CN"/>
        </w:rPr>
        <w:t xml:space="preserve">L’âge d’or. </w:t>
      </w:r>
      <w:r w:rsidRPr="00CE711B">
        <w:rPr>
          <w:rFonts w:cs="Arial"/>
          <w:color w:val="399BFF"/>
          <w:sz w:val="44"/>
          <w:szCs w:val="44"/>
          <w:lang w:val="en-US" w:eastAsia="zh-CN"/>
        </w:rPr>
        <w:t xml:space="preserve">Médias, mémoires et nostalgies. </w:t>
      </w:r>
      <w:r w:rsidRPr="00CE711B">
        <w:rPr>
          <w:rFonts w:cs="Arial"/>
          <w:color w:val="399BFF"/>
          <w:sz w:val="44"/>
          <w:szCs w:val="44"/>
          <w:lang w:val="en-US" w:eastAsia="zh-CN"/>
        </w:rPr>
        <w:t>»</w:t>
      </w:r>
    </w:p>
    <w:p w:rsidR="00CE711B" w:rsidRDefault="00CE711B" w:rsidP="00CE711B">
      <w:pPr>
        <w:widowControl w:val="0"/>
        <w:autoSpaceDE w:val="0"/>
        <w:autoSpaceDN w:val="0"/>
        <w:adjustRightInd w:val="0"/>
        <w:spacing w:after="240" w:line="380" w:lineRule="atLeast"/>
        <w:rPr>
          <w:rFonts w:cs="Arial"/>
          <w:lang w:val="en-US" w:eastAsia="zh-CN"/>
        </w:rPr>
      </w:pP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b/>
          <w:bCs/>
          <w:color w:val="399BFF"/>
          <w:sz w:val="24"/>
          <w:szCs w:val="24"/>
          <w:lang w:val="en-US" w:eastAsia="zh-CN"/>
        </w:rPr>
        <w:t>Journée d’études. Paris, 12 septembre 2014, Maison de la Recherche de l’Université Paris-Sorbonne, rue Serpente.</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Journée co-organisée par le French Media Research Group (Newcastle and Nottingham Universities, GB), le CHCSC (Université Versailles Saint-Quentin en Yvelines) et le GRIPIC (Celsa Paris-Sorbonne).</w:t>
      </w:r>
    </w:p>
    <w:p w:rsidR="00CE711B" w:rsidRPr="00CE711B" w:rsidRDefault="00CE711B" w:rsidP="00CE711B">
      <w:pPr>
        <w:widowControl w:val="0"/>
        <w:autoSpaceDE w:val="0"/>
        <w:autoSpaceDN w:val="0"/>
        <w:adjustRightInd w:val="0"/>
        <w:spacing w:after="240" w:line="380" w:lineRule="atLeast"/>
        <w:rPr>
          <w:rFonts w:cs="Arial"/>
          <w:b/>
          <w:sz w:val="24"/>
          <w:szCs w:val="24"/>
          <w:lang w:val="en-US" w:eastAsia="zh-CN"/>
        </w:rPr>
      </w:pPr>
      <w:bookmarkStart w:id="0" w:name="_GoBack"/>
      <w:r w:rsidRPr="00CE711B">
        <w:rPr>
          <w:rFonts w:cs="Arial"/>
          <w:b/>
          <w:sz w:val="24"/>
          <w:szCs w:val="24"/>
          <w:lang w:val="en-US" w:eastAsia="zh-CN"/>
        </w:rPr>
        <w:t>Comité d’organisation : </w:t>
      </w:r>
    </w:p>
    <w:bookmarkEnd w:id="0"/>
    <w:p w:rsid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xml:space="preserve">Emmanuelle FANTIN, </w:t>
      </w:r>
      <w:r>
        <w:rPr>
          <w:rFonts w:cs="Arial"/>
          <w:sz w:val="24"/>
          <w:szCs w:val="24"/>
          <w:lang w:val="en-US" w:eastAsia="zh-CN"/>
        </w:rPr>
        <w:t>GRIPIC, Celsa Paris-Sorbonne</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Thibault LE HEGARAT, CHCSC, Université Versailles-Saint-Quentin-en-Yvelines.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b/>
          <w:sz w:val="24"/>
          <w:szCs w:val="24"/>
          <w:lang w:val="en-US" w:eastAsia="zh-CN"/>
        </w:rPr>
      </w:pPr>
      <w:r w:rsidRPr="00CE711B">
        <w:rPr>
          <w:rFonts w:cs="Arial"/>
          <w:b/>
          <w:sz w:val="24"/>
          <w:szCs w:val="24"/>
          <w:lang w:val="en-US" w:eastAsia="zh-CN"/>
        </w:rPr>
        <w:t>Comité Scientifique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Karine BERTHELOT-GUIET, GRIPIC, Celsa Paris-Sorbonne</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Hugh DAUNCEY, FMRG, Newcastle University</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Christian DELPORTE, CHCSC, Université Versailles Saint-Quentin-en-Yvelines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Katharina NIEMEYER, CARISM, IFP-Université Panthéon-Assas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François ROBINET, CHCSC, Université Versailles Saint-Quentin-en-Yvelines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Julien TASSEL, GRIPIC, Celsa Paris-Sorbonne</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Christopher G. TINKER, FMRG, Heriot-Watt University</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b/>
          <w:sz w:val="24"/>
          <w:szCs w:val="24"/>
          <w:lang w:val="en-US" w:eastAsia="zh-CN"/>
        </w:rPr>
      </w:pPr>
      <w:r w:rsidRPr="00CE711B">
        <w:rPr>
          <w:rFonts w:cs="Arial"/>
          <w:b/>
          <w:sz w:val="24"/>
          <w:szCs w:val="24"/>
          <w:lang w:val="en-US" w:eastAsia="zh-CN"/>
        </w:rPr>
        <w:t xml:space="preserve">PROGRAMME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9h30 –Introduction de la journée par Adeline Wrona et Jean-Claude Yon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xml:space="preserve">9h45 – 10h20 : Isabelle Veyrat-Masson – </w:t>
      </w:r>
      <w:r w:rsidRPr="00CE711B">
        <w:rPr>
          <w:rFonts w:cs="Arial"/>
          <w:i/>
          <w:iCs/>
          <w:sz w:val="24"/>
          <w:szCs w:val="24"/>
          <w:lang w:val="en-US" w:eastAsia="zh-CN"/>
        </w:rPr>
        <w:t>titre à confirmer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lastRenderedPageBreak/>
        <w:t>Session 1 : Les mythes modernes de l’âge d’or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xml:space="preserve">10h25 – 10h45: Genoudet Adrien « </w:t>
      </w:r>
      <w:r w:rsidRPr="00CE711B">
        <w:rPr>
          <w:rFonts w:cs="Arial"/>
          <w:i/>
          <w:iCs/>
          <w:sz w:val="24"/>
          <w:szCs w:val="24"/>
          <w:lang w:val="en-US" w:eastAsia="zh-CN"/>
        </w:rPr>
        <w:t xml:space="preserve">Les fantômes d’un temps muet : </w:t>
      </w:r>
      <w:r w:rsidRPr="00CE711B">
        <w:rPr>
          <w:rFonts w:cs="Arial"/>
          <w:sz w:val="24"/>
          <w:szCs w:val="24"/>
          <w:lang w:val="en-US" w:eastAsia="zh-CN"/>
        </w:rPr>
        <w:t>essai d’une composition visuelle du chrononyme "Belle Epoque"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10h50 – 11h10: Pawin Rémy « La construction de l’âge d’or dans les médias éducatifs : les "Trente Glorieuses" dans les manuels scolaires de 1983 à nos jours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11h10 – 11h20: Discussion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11h20 – 11h35: Pause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Session 2: Sélections du passé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11h35 – 11h55: Garcia Audrey « Jean Cocteau, passeur de mémoire : l’orchestration médiatique de la nostalgie au service d’une posture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12h00 – 12h20: Geslot Jean-Charles « D’un âge d’or à l’autre : la belle époque du second Empire chez Renoir et de Guitry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12h25 – 12h45: Orillard Audrey « Jeunesse dorée et premiers pas du rock’n’roll. La rediffusion des scopitones à la télévision française (1980-2010)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12h45 – 13h00 Discussion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13h00- 14h30: Déjeuner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Session 3: Pratiques et objets médiatiques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14h30 – 14h50: Vignon Virginie « L’affichomanie des chérolâtres : la stratégie du souvenir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14h55 – 15h15: Khoudja-Coyez Sandrine « "The Old-Time Radio" ou l’âge d’or de la radio américaine :De la fabrique à la contemplation de l’histoire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15h20 – 15h40: Poels Géraldine « Télévision : l’invention de l’âge d’or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15h40 – 15h50: Discussion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15h50 – 16h05: Pause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i/>
          <w:iCs/>
          <w:sz w:val="24"/>
          <w:szCs w:val="24"/>
          <w:lang w:val="en-US" w:eastAsia="zh-CN"/>
        </w:rPr>
        <w:t>Session 4 :L’âge d’or des productions culturelles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16h05– 16h25: Robène Luc et Serre Solveig « Le punk est mort. Vive le punk ! La construction médiatique de la nostalgie punk dans la presse spécialisée française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xml:space="preserve">16h30– 16h50: Gabilliet Jean Paul « Age d’or de la bd et </w:t>
      </w:r>
      <w:r w:rsidRPr="00CE711B">
        <w:rPr>
          <w:rFonts w:cs="Arial"/>
          <w:i/>
          <w:iCs/>
          <w:sz w:val="24"/>
          <w:szCs w:val="24"/>
          <w:lang w:val="en-US" w:eastAsia="zh-CN"/>
        </w:rPr>
        <w:t xml:space="preserve">golden age of comics </w:t>
      </w:r>
      <w:r w:rsidRPr="00CE711B">
        <w:rPr>
          <w:rFonts w:cs="Arial"/>
          <w:sz w:val="24"/>
          <w:szCs w:val="24"/>
          <w:lang w:val="en-US" w:eastAsia="zh-CN"/>
        </w:rPr>
        <w:t>: comparaison des notions fondatrices de la bédéphilie en France et aux Etats-Unis. »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16h50 – 17h00: Discussion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17h00– Conclusion de la journée par Katharina Niemeyer </w:t>
      </w:r>
    </w:p>
    <w:p w:rsidR="00CE711B" w:rsidRDefault="00CE711B" w:rsidP="00CE711B">
      <w:pPr>
        <w:widowControl w:val="0"/>
        <w:autoSpaceDE w:val="0"/>
        <w:autoSpaceDN w:val="0"/>
        <w:adjustRightInd w:val="0"/>
        <w:spacing w:after="240" w:line="380" w:lineRule="atLeast"/>
        <w:rPr>
          <w:rFonts w:cs="Arial"/>
          <w:sz w:val="24"/>
          <w:szCs w:val="24"/>
          <w:lang w:val="en-US" w:eastAsia="zh-CN"/>
        </w:rPr>
      </w:pPr>
    </w:p>
    <w:p w:rsidR="00CE711B" w:rsidRPr="00CE711B" w:rsidRDefault="00CE711B" w:rsidP="00CE711B">
      <w:pPr>
        <w:widowControl w:val="0"/>
        <w:autoSpaceDE w:val="0"/>
        <w:autoSpaceDN w:val="0"/>
        <w:adjustRightInd w:val="0"/>
        <w:spacing w:after="240" w:line="380" w:lineRule="atLeast"/>
        <w:rPr>
          <w:rFonts w:cs="Arial"/>
          <w:b/>
          <w:sz w:val="24"/>
          <w:szCs w:val="24"/>
          <w:lang w:val="en-US" w:eastAsia="zh-CN"/>
        </w:rPr>
      </w:pPr>
      <w:r w:rsidRPr="00CE711B">
        <w:rPr>
          <w:rFonts w:cs="Arial"/>
          <w:b/>
          <w:sz w:val="24"/>
          <w:szCs w:val="24"/>
          <w:lang w:val="en-US" w:eastAsia="zh-CN"/>
        </w:rPr>
        <w:t>CALL FOR PAPERS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Définissant la nostalgie comme le « beau regret du passé », les historiens du culturel1 rappellent la double portée de la notion : tout en continuant de faire référence à son sens originel, celui de la peine causée par un espace perdu, la nostalgie renvoie désormais davantage au regret « d’un temps qui ne reviendra plus ». Exprimant une forme de remémoration et de regard porté sur le passé, la nostalgie a trouvé dans le champ médiatique un espace d’expression privilégié. Par l’étude de ces discours, il nous est possible de constater la diversité des formes du sentiment nostalgique et de son expression. On pense par exemple au mouvement rétro2 dont les médias se nourrissent tant dans leurs contenus que dans leurs formes, oscillant entre pastiche, hommage et recyclage. Quels sont les dispositifs médiatiques à l’oeuvre pour soulever le sentiment nostalgique, et comment les analyser ? Pour Svetlana Boym3 et Hartmut Rosa4, la nostalgie est l’une des composantes inhérente au progrès et à la modernité. La banalisation du sentiment nostalgique dans les médias doit-elle alors être comprise comme un biais incontournable de l’appréhension médiatique du passé? Par ailleurs, la nostalgie s’insère dans le chantier plus large de l’étude des discours mémoriels dans les productions médiatiques.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Les multiples liens entre médias et mémoire ont déjà été explorés dans de nombreuses études. Dans ses travaux, l’historienne Isabelle Veyrat-Masson5 a successivement analysé l’histoire à la télévision française et les affrontements mémoriels dans les médias. Katharina Niemeyer6 a quant à elle posé la question de l’écriture de l’histoire dans et par la télévision, interrogeant en particulier les commémorations d’événements. Nourrie des écrits fondateurs de Pierre Nora7 sur la mémoire, elle envisage le journal télévisé comme un « lieu-de-mémoire-en-mouvement ». Loin d’être de simples vecteurs du passé, les médias seraient de véritables « opérateurs de mémoire »8, des interprètes contribuant à la constitution des représentations collectives du passé, et en mesure de concourir à la mythologisation du passé.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Dans le sillon de ces études, nous souhaitons prolonger la réflexion sur les interactions entre médias, mémoires et nostalgies autour de la notion spécifique de l’</w:t>
      </w:r>
      <w:r w:rsidRPr="00CE711B">
        <w:rPr>
          <w:rFonts w:cs="Arial"/>
          <w:i/>
          <w:iCs/>
          <w:sz w:val="24"/>
          <w:szCs w:val="24"/>
          <w:lang w:val="en-US" w:eastAsia="zh-CN"/>
        </w:rPr>
        <w:t>âge d’or</w:t>
      </w:r>
      <w:r w:rsidRPr="00CE711B">
        <w:rPr>
          <w:rFonts w:cs="Arial"/>
          <w:sz w:val="24"/>
          <w:szCs w:val="24"/>
          <w:lang w:val="en-US" w:eastAsia="zh-CN"/>
        </w:rPr>
        <w:t xml:space="preserve">. A l’origine, il désigne le mythe du premier âge de l’humanité relaté par Hésiode, âge caractérisé par un imaginaire de paix et de bonheur insubmersibles. L’étonnante plasticité de ce mythe lui a permis, traversant le temps et les traditions, de se muer en lieu commun pour qualifier une période d’apogée révolue, source immuable d’idéalisation et de sentiment nostalgique. L’âge d’or est donc toujours construit </w:t>
      </w:r>
      <w:r w:rsidRPr="00CE711B">
        <w:rPr>
          <w:rFonts w:cs="Arial"/>
          <w:i/>
          <w:iCs/>
          <w:sz w:val="24"/>
          <w:szCs w:val="24"/>
          <w:lang w:val="en-US" w:eastAsia="zh-CN"/>
        </w:rPr>
        <w:t xml:space="preserve">a posteriori </w:t>
      </w:r>
      <w:r w:rsidRPr="00CE711B">
        <w:rPr>
          <w:rFonts w:cs="Arial"/>
          <w:sz w:val="24"/>
          <w:szCs w:val="24"/>
          <w:lang w:val="en-US" w:eastAsia="zh-CN"/>
        </w:rPr>
        <w:t>: il sous-tend en creux une rupture avec le temps présent habitée par l’idée d’un appauvrissement, d’un déclassement par rapport au passé.</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L’enjeu de cette journée d’étude sera donc d’interroger les processus médiatiques d’idéalisation du passé : l’</w:t>
      </w:r>
      <w:r w:rsidRPr="00CE711B">
        <w:rPr>
          <w:rFonts w:cs="Arial"/>
          <w:i/>
          <w:iCs/>
          <w:sz w:val="24"/>
          <w:szCs w:val="24"/>
          <w:lang w:val="en-US" w:eastAsia="zh-CN"/>
        </w:rPr>
        <w:t xml:space="preserve">âge d’or </w:t>
      </w:r>
      <w:r w:rsidRPr="00CE711B">
        <w:rPr>
          <w:rFonts w:cs="Arial"/>
          <w:sz w:val="24"/>
          <w:szCs w:val="24"/>
          <w:lang w:val="en-US" w:eastAsia="zh-CN"/>
        </w:rPr>
        <w:t xml:space="preserve">pourra être compris comme une modalité spécifique de la nostalgie </w:t>
      </w:r>
      <w:r w:rsidRPr="00CE711B">
        <w:rPr>
          <w:rFonts w:cs="Arial"/>
          <w:i/>
          <w:iCs/>
          <w:sz w:val="24"/>
          <w:szCs w:val="24"/>
          <w:lang w:val="en-US" w:eastAsia="zh-CN"/>
        </w:rPr>
        <w:t xml:space="preserve">dans </w:t>
      </w:r>
      <w:r w:rsidRPr="00CE711B">
        <w:rPr>
          <w:rFonts w:cs="Arial"/>
          <w:sz w:val="24"/>
          <w:szCs w:val="24"/>
          <w:lang w:val="en-US" w:eastAsia="zh-CN"/>
        </w:rPr>
        <w:t xml:space="preserve">et </w:t>
      </w:r>
      <w:r w:rsidRPr="00CE711B">
        <w:rPr>
          <w:rFonts w:cs="Arial"/>
          <w:i/>
          <w:iCs/>
          <w:sz w:val="24"/>
          <w:szCs w:val="24"/>
          <w:lang w:val="en-US" w:eastAsia="zh-CN"/>
        </w:rPr>
        <w:t xml:space="preserve">par </w:t>
      </w:r>
      <w:r w:rsidRPr="00CE711B">
        <w:rPr>
          <w:rFonts w:cs="Arial"/>
          <w:sz w:val="24"/>
          <w:szCs w:val="24"/>
          <w:lang w:val="en-US" w:eastAsia="zh-CN"/>
        </w:rPr>
        <w:t xml:space="preserve">les médias. Certaines représentations médiatiques du passé tendent en effet à mythifier des périodes historiques ; il s’agit de fait d’une forme de sélection et de construction mémorielle qui repose sur une perception sublimée du passé. Ces discours et mises en scène se déploient à travers des leviers rhétoriques et esthétiques de glorification du passé, contribuant ainsi à la diffusion et la popularisation de ces intangibles </w:t>
      </w:r>
      <w:r w:rsidRPr="00CE711B">
        <w:rPr>
          <w:rFonts w:cs="Arial"/>
          <w:i/>
          <w:iCs/>
          <w:sz w:val="24"/>
          <w:szCs w:val="24"/>
          <w:lang w:val="en-US" w:eastAsia="zh-CN"/>
        </w:rPr>
        <w:t>âges d’or</w:t>
      </w:r>
      <w:r w:rsidRPr="00CE711B">
        <w:rPr>
          <w:rFonts w:cs="Arial"/>
          <w:sz w:val="24"/>
          <w:szCs w:val="24"/>
          <w:lang w:val="en-US" w:eastAsia="zh-CN"/>
        </w:rPr>
        <w:t>. Ces mythes d’</w:t>
      </w:r>
      <w:r w:rsidRPr="00CE711B">
        <w:rPr>
          <w:rFonts w:cs="Arial"/>
          <w:i/>
          <w:iCs/>
          <w:sz w:val="24"/>
          <w:szCs w:val="24"/>
          <w:lang w:val="en-US" w:eastAsia="zh-CN"/>
        </w:rPr>
        <w:t xml:space="preserve">âges d’or </w:t>
      </w:r>
      <w:r w:rsidRPr="00CE711B">
        <w:rPr>
          <w:rFonts w:cs="Arial"/>
          <w:sz w:val="24"/>
          <w:szCs w:val="24"/>
          <w:lang w:val="en-US" w:eastAsia="zh-CN"/>
        </w:rPr>
        <w:t>peuvent se rapporter à une période tout entière – les Trente Glorieuses, La Belle Epoque, les années folles, etc. –, à des objets et des pratiques médiatiques plus spécifiques – l’âge d’or de la presse quotidienne ou de la radio familiale –, ou à des courants culturels et à leur production – l’âge d’or du cinéma hollywoodien, du roman populaire ou de la fiction historique à la télévision.</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 xml:space="preserve">L’âge d’or peut être appréhendé à travers diverses approches conceptuelles. Se pose en premier lieu la question des enjeux sous-tendus par le recours à un passé magnifié. Ce regard spécifique porté sur le passé émane-t-il d’un jugement critique du temps présent et d’une méfiance envers le futur ? Les mass medias seraient-ils un lieu privilégié de l’expression de mythes de l’âge d’or ? Les médias instrumentalisent-ils les âges d’or pour asseoir leurs propres légitimations ? Est-il possible d’identifier des groupes porteurs de ces mémoires idéalisées de temps passés, et quels sont les modalités et les objectifs de leurs constructions mémorielles ? La variété des représentations et des dispositifs nostalgiques invite également à d’interroger sur les mécanismes et les processus dont il est fait usage : quelles sont les rhétoriques discursives et médiatiques à l’oeuvre ? Est-il possible de définir les pratiques nostalgiques de l’âge d’or </w:t>
      </w:r>
      <w:r w:rsidRPr="00CE711B">
        <w:rPr>
          <w:rFonts w:cs="Arial"/>
          <w:i/>
          <w:iCs/>
          <w:sz w:val="24"/>
          <w:szCs w:val="24"/>
          <w:lang w:val="en-US" w:eastAsia="zh-CN"/>
        </w:rPr>
        <w:t xml:space="preserve">dans </w:t>
      </w:r>
      <w:r w:rsidRPr="00CE711B">
        <w:rPr>
          <w:rFonts w:cs="Arial"/>
          <w:sz w:val="24"/>
          <w:szCs w:val="24"/>
          <w:lang w:val="en-US" w:eastAsia="zh-CN"/>
        </w:rPr>
        <w:t xml:space="preserve">et </w:t>
      </w:r>
      <w:r w:rsidRPr="00CE711B">
        <w:rPr>
          <w:rFonts w:cs="Arial"/>
          <w:i/>
          <w:iCs/>
          <w:sz w:val="24"/>
          <w:szCs w:val="24"/>
          <w:lang w:val="en-US" w:eastAsia="zh-CN"/>
        </w:rPr>
        <w:t xml:space="preserve">par </w:t>
      </w:r>
      <w:r w:rsidRPr="00CE711B">
        <w:rPr>
          <w:rFonts w:cs="Arial"/>
          <w:sz w:val="24"/>
          <w:szCs w:val="24"/>
          <w:lang w:val="en-US" w:eastAsia="zh-CN"/>
        </w:rPr>
        <w:t>les médias ?</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Notes.</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1. DELPORTE, Christian, Jean-Yves Mollier et Jean-François Sirinelli (dir.), </w:t>
      </w:r>
      <w:r w:rsidRPr="00CE711B">
        <w:rPr>
          <w:rFonts w:cs="Arial"/>
          <w:i/>
          <w:iCs/>
          <w:sz w:val="24"/>
          <w:szCs w:val="24"/>
          <w:lang w:val="en-US" w:eastAsia="zh-CN"/>
        </w:rPr>
        <w:t>Dictionnaire d’histoire culturelle de la France contemporaine, </w:t>
      </w:r>
      <w:r w:rsidRPr="00CE711B">
        <w:rPr>
          <w:rFonts w:cs="Arial"/>
          <w:sz w:val="24"/>
          <w:szCs w:val="24"/>
          <w:lang w:val="en-US" w:eastAsia="zh-CN"/>
        </w:rPr>
        <w:t>Paris, Quadrige/PUF, 2010, notice « Nostalgie » par Sylvain Venayre.</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2. REYNOLDS, Simon, </w:t>
      </w:r>
      <w:r w:rsidRPr="00CE711B">
        <w:rPr>
          <w:rFonts w:cs="Arial"/>
          <w:i/>
          <w:iCs/>
          <w:sz w:val="24"/>
          <w:szCs w:val="24"/>
          <w:lang w:val="en-US" w:eastAsia="zh-CN"/>
        </w:rPr>
        <w:t>Rétromania</w:t>
      </w:r>
      <w:r w:rsidRPr="00CE711B">
        <w:rPr>
          <w:rFonts w:cs="Arial"/>
          <w:sz w:val="24"/>
          <w:szCs w:val="24"/>
          <w:lang w:val="en-US" w:eastAsia="zh-CN"/>
        </w:rPr>
        <w:t>, Marseille, Le Mot et le Reste, 2012.</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3. BOYM, Svetlana, </w:t>
      </w:r>
      <w:r w:rsidRPr="00CE711B">
        <w:rPr>
          <w:rFonts w:cs="Arial"/>
          <w:i/>
          <w:iCs/>
          <w:sz w:val="24"/>
          <w:szCs w:val="24"/>
          <w:lang w:val="en-US" w:eastAsia="zh-CN"/>
        </w:rPr>
        <w:t>The future of nostalgia</w:t>
      </w:r>
      <w:r w:rsidRPr="00CE711B">
        <w:rPr>
          <w:rFonts w:cs="Arial"/>
          <w:sz w:val="24"/>
          <w:szCs w:val="24"/>
          <w:lang w:val="en-US" w:eastAsia="zh-CN"/>
        </w:rPr>
        <w:t>, New York, Basic Books, 2001.</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4. ROSA, Hartmut, </w:t>
      </w:r>
      <w:r w:rsidRPr="00CE711B">
        <w:rPr>
          <w:rFonts w:cs="Arial"/>
          <w:i/>
          <w:iCs/>
          <w:sz w:val="24"/>
          <w:szCs w:val="24"/>
          <w:lang w:val="en-US" w:eastAsia="zh-CN"/>
        </w:rPr>
        <w:t>Accélération</w:t>
      </w:r>
      <w:r w:rsidRPr="00CE711B">
        <w:rPr>
          <w:rFonts w:cs="Arial"/>
          <w:sz w:val="24"/>
          <w:szCs w:val="24"/>
          <w:lang w:val="en-US" w:eastAsia="zh-CN"/>
        </w:rPr>
        <w:t>. </w:t>
      </w:r>
      <w:r w:rsidRPr="00CE711B">
        <w:rPr>
          <w:rFonts w:cs="Arial"/>
          <w:i/>
          <w:iCs/>
          <w:sz w:val="24"/>
          <w:szCs w:val="24"/>
          <w:lang w:val="en-US" w:eastAsia="zh-CN"/>
        </w:rPr>
        <w:t>Une critique sociale du temps</w:t>
      </w:r>
      <w:r w:rsidRPr="00CE711B">
        <w:rPr>
          <w:rFonts w:cs="Arial"/>
          <w:sz w:val="24"/>
          <w:szCs w:val="24"/>
          <w:lang w:val="en-US" w:eastAsia="zh-CN"/>
        </w:rPr>
        <w:t>, Paris, La découverte, 2010.</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5. VEYRAT-MASSON, Isabelle, </w:t>
      </w:r>
      <w:r w:rsidRPr="00CE711B">
        <w:rPr>
          <w:rFonts w:cs="Arial"/>
          <w:i/>
          <w:iCs/>
          <w:sz w:val="24"/>
          <w:szCs w:val="24"/>
          <w:lang w:val="en-US" w:eastAsia="zh-CN"/>
        </w:rPr>
        <w:t>Quand la télévision explore le temps. L’histoire au petit écran</w:t>
      </w:r>
      <w:r w:rsidRPr="00CE711B">
        <w:rPr>
          <w:rFonts w:cs="Arial"/>
          <w:sz w:val="24"/>
          <w:szCs w:val="24"/>
          <w:lang w:val="en-US" w:eastAsia="zh-CN"/>
        </w:rPr>
        <w:t>. Paris, Fayard, 2000.</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6. NIEMEYER, Katharina, </w:t>
      </w:r>
      <w:r w:rsidRPr="00CE711B">
        <w:rPr>
          <w:rFonts w:cs="Arial"/>
          <w:i/>
          <w:iCs/>
          <w:sz w:val="24"/>
          <w:szCs w:val="24"/>
          <w:lang w:val="en-US" w:eastAsia="zh-CN"/>
        </w:rPr>
        <w:t>De la chute du mur de Berlin au 11 septembre 2001. Le journal télévisé, les mémoires collectives et l’écriture de l’histoire</w:t>
      </w:r>
      <w:r w:rsidRPr="00CE711B">
        <w:rPr>
          <w:rFonts w:cs="Arial"/>
          <w:sz w:val="24"/>
          <w:szCs w:val="24"/>
          <w:lang w:val="en-US" w:eastAsia="zh-CN"/>
        </w:rPr>
        <w:t>. Lausanne, Antipodes, 2011.</w:t>
      </w:r>
    </w:p>
    <w:p w:rsidR="00CE711B" w:rsidRPr="00CE711B" w:rsidRDefault="00CE711B" w:rsidP="00CE711B">
      <w:pPr>
        <w:widowControl w:val="0"/>
        <w:autoSpaceDE w:val="0"/>
        <w:autoSpaceDN w:val="0"/>
        <w:adjustRightInd w:val="0"/>
        <w:spacing w:after="240" w:line="380" w:lineRule="atLeast"/>
        <w:rPr>
          <w:rFonts w:cs="Arial"/>
          <w:sz w:val="24"/>
          <w:szCs w:val="24"/>
          <w:lang w:val="en-US" w:eastAsia="zh-CN"/>
        </w:rPr>
      </w:pPr>
      <w:r w:rsidRPr="00CE711B">
        <w:rPr>
          <w:rFonts w:cs="Arial"/>
          <w:sz w:val="24"/>
          <w:szCs w:val="24"/>
          <w:lang w:val="en-US" w:eastAsia="zh-CN"/>
        </w:rPr>
        <w:t>7. NORA, Pierre, </w:t>
      </w:r>
      <w:r w:rsidRPr="00CE711B">
        <w:rPr>
          <w:rFonts w:cs="Arial"/>
          <w:i/>
          <w:iCs/>
          <w:sz w:val="24"/>
          <w:szCs w:val="24"/>
          <w:lang w:val="en-US" w:eastAsia="zh-CN"/>
        </w:rPr>
        <w:t>Les lieux de mémoire</w:t>
      </w:r>
      <w:r w:rsidRPr="00CE711B">
        <w:rPr>
          <w:rFonts w:cs="Arial"/>
          <w:sz w:val="24"/>
          <w:szCs w:val="24"/>
          <w:lang w:val="en-US" w:eastAsia="zh-CN"/>
        </w:rPr>
        <w:t>, Paris, Gallimard, 1997. </w:t>
      </w:r>
    </w:p>
    <w:p w:rsidR="008C5831" w:rsidRPr="00CE711B" w:rsidRDefault="00CE711B" w:rsidP="00CE711B">
      <w:pPr>
        <w:rPr>
          <w:sz w:val="24"/>
          <w:szCs w:val="24"/>
          <w:lang w:eastAsia="zh-CN"/>
        </w:rPr>
      </w:pPr>
      <w:r w:rsidRPr="00CE711B">
        <w:rPr>
          <w:rFonts w:cs="Arial"/>
          <w:sz w:val="24"/>
          <w:szCs w:val="24"/>
          <w:lang w:val="en-US" w:eastAsia="zh-CN"/>
        </w:rPr>
        <w:t>8. MERZEAU, Louise et WEBER, Thomas (dir.), </w:t>
      </w:r>
      <w:r w:rsidRPr="00CE711B">
        <w:rPr>
          <w:rFonts w:cs="Arial"/>
          <w:i/>
          <w:iCs/>
          <w:sz w:val="24"/>
          <w:szCs w:val="24"/>
          <w:lang w:val="en-US" w:eastAsia="zh-CN"/>
        </w:rPr>
        <w:t>Médias et mémoire</w:t>
      </w:r>
      <w:r w:rsidRPr="00CE711B">
        <w:rPr>
          <w:rFonts w:cs="Arial"/>
          <w:sz w:val="24"/>
          <w:szCs w:val="24"/>
          <w:lang w:val="en-US" w:eastAsia="zh-CN"/>
        </w:rPr>
        <w:t>, Paris, Avinus, 2010. </w:t>
      </w:r>
    </w:p>
    <w:sectPr w:rsidR="008C5831" w:rsidRPr="00CE711B" w:rsidSect="00CE711B">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1B"/>
    <w:rsid w:val="004164FC"/>
    <w:rsid w:val="008C5831"/>
    <w:rsid w:val="00A544D9"/>
    <w:rsid w:val="00CE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31D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1286</Words>
  <Characters>7333</Characters>
  <Application>Microsoft Macintosh Word</Application>
  <DocSecurity>0</DocSecurity>
  <Lines>61</Lines>
  <Paragraphs>17</Paragraphs>
  <ScaleCrop>false</ScaleCrop>
  <Company>Newcastle University</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Dauncey</dc:creator>
  <cp:keywords/>
  <dc:description/>
  <cp:lastModifiedBy>Hugh Dauncey</cp:lastModifiedBy>
  <cp:revision>1</cp:revision>
  <dcterms:created xsi:type="dcterms:W3CDTF">2014-11-26T11:37:00Z</dcterms:created>
  <dcterms:modified xsi:type="dcterms:W3CDTF">2014-11-26T11:43:00Z</dcterms:modified>
</cp:coreProperties>
</file>